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Приказ Минтуризма РД от 11.04.2022 N 45/ОД</w:t>
              <w:br/>
              <w:t xml:space="preserve">"О внесении изменений в приказ Министерства по туризму и народным художественным промыслам Республики Дагестан от 06.08.2020 N 60/ОД "Об утверждении перечня должностей государственной гражданской службы Республики Дагестан Министерства по туризму и народным художественным промыслам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      <w:br/>
              <w:t xml:space="preserve">(Зарегистрировано в Минюсте РД 12.05.2022 N 6007)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12 мая 2022 г. N 6007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11 апреля 2022 г. N 45/ОД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ПРИКАЗ МИНИСТЕРСТВА ПО ТУРИЗМУ</w:t>
      </w:r>
    </w:p>
    <w:p>
      <w:pPr>
        <w:pStyle w:val="2"/>
        <w:jc w:val="center"/>
      </w:pPr>
      <w:r>
        <w:rPr>
          <w:sz w:val="20"/>
        </w:rPr>
        <w:t xml:space="preserve">И НАРОДНЫМ ХУДОЖЕСТВЕННЫМ ПРОМЫСЛАМ РЕСПУБЛИКИ ДАГЕСТАН</w:t>
      </w:r>
    </w:p>
    <w:p>
      <w:pPr>
        <w:pStyle w:val="2"/>
        <w:jc w:val="center"/>
      </w:pPr>
      <w:r>
        <w:rPr>
          <w:sz w:val="20"/>
        </w:rPr>
        <w:t xml:space="preserve">ОТ 06.08.2020 N 60/ОД "ОБ УТВЕРЖДЕНИИ ПЕРЕЧНЯ ДОЛЖНОСТЕЙ</w:t>
      </w:r>
    </w:p>
    <w:p>
      <w:pPr>
        <w:pStyle w:val="2"/>
        <w:jc w:val="center"/>
      </w:pPr>
      <w:r>
        <w:rPr>
          <w:sz w:val="20"/>
        </w:rPr>
        <w:t xml:space="preserve">ГОСУДАРСТВЕННОЙ ГРАЖДАНСКОЙ СЛУЖБЫ РЕСПУБЛИКИ ДАГЕСТАН</w:t>
      </w:r>
    </w:p>
    <w:p>
      <w:pPr>
        <w:pStyle w:val="2"/>
        <w:jc w:val="center"/>
      </w:pPr>
      <w:r>
        <w:rPr>
          <w:sz w:val="20"/>
        </w:rPr>
        <w:t xml:space="preserve">МИНИСТЕРСТВА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ДАГЕСТАН, ПРИ ЗАМЕЩЕНИИ КОТОРЫХ ГОСУДАРСТВЕННЫЕ</w:t>
      </w:r>
    </w:p>
    <w:p>
      <w:pPr>
        <w:pStyle w:val="2"/>
        <w:jc w:val="center"/>
      </w:pPr>
      <w:r>
        <w:rPr>
          <w:sz w:val="20"/>
        </w:rPr>
        <w:t xml:space="preserve">ГРАЖДАНСКИЕ СЛУЖАЩИЕ РЕСПУБЛИКИ ДАГЕСТАН ОБЯЗАНЫ</w:t>
      </w:r>
    </w:p>
    <w:p>
      <w:pPr>
        <w:pStyle w:val="2"/>
        <w:jc w:val="center"/>
      </w:pPr>
      <w:r>
        <w:rPr>
          <w:sz w:val="20"/>
        </w:rPr>
        <w:t xml:space="preserve">ПРЕДСТАВЛЯТЬ СВЕДЕНИЯ О СВОИХ ДОХОДАХ, ОБ ИМУЩЕСТВЕ</w:t>
      </w:r>
    </w:p>
    <w:p>
      <w:pPr>
        <w:pStyle w:val="2"/>
        <w:jc w:val="center"/>
      </w:pPr>
      <w:r>
        <w:rPr>
          <w:sz w:val="20"/>
        </w:rPr>
        <w:t xml:space="preserve">И ОБЯЗАТЕЛЬСТВАХ ИМУЩЕСТВЕННОГО ХАРАКТЕРА,</w:t>
      </w:r>
    </w:p>
    <w:p>
      <w:pPr>
        <w:pStyle w:val="2"/>
        <w:jc w:val="center"/>
      </w:pPr>
      <w:r>
        <w:rPr>
          <w:sz w:val="20"/>
        </w:rPr>
        <w:t xml:space="preserve">А ТАКЖЕ СВЕДЕНИЯ О ДОХОДАХ, ОБ ИМУЩЕСТВЕ И ОБЯЗАТЕЛЬСТВАХ</w:t>
      </w:r>
    </w:p>
    <w:p>
      <w:pPr>
        <w:pStyle w:val="2"/>
        <w:jc w:val="center"/>
      </w:pPr>
      <w:r>
        <w:rPr>
          <w:sz w:val="20"/>
        </w:rPr>
        <w:t xml:space="preserve">ИМУЩЕСТВЕННОГО ХАРАКТЕРА СВОИХ СУПРУГИ (СУПРУГА)</w:t>
      </w:r>
    </w:p>
    <w:p>
      <w:pPr>
        <w:pStyle w:val="2"/>
        <w:jc w:val="center"/>
      </w:pPr>
      <w:r>
        <w:rPr>
          <w:sz w:val="20"/>
        </w:rPr>
        <w:t xml:space="preserve">И НЕСОВЕРШЕННОЛЕТНИХ ДЕТЕЙ"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Федеральный закон от 25.12.2008 N 273-ФЗ (ред. от 01.04.2022) &quot;О противодействии коррупции&quot; ------------ Недействующая редакция {КонсультантПлюс}">
        <w:r>
          <w:rPr>
            <w:sz w:val="20"/>
            <w:color w:val="0000ff"/>
          </w:rPr>
          <w:t xml:space="preserve">статьей 8</w:t>
        </w:r>
      </w:hyperlink>
      <w:r>
        <w:rPr>
          <w:sz w:val="20"/>
        </w:rPr>
        <w:t xml:space="preserve"> Федерального закона от 25.12.2008 N 273-ФЗ "О противодействии коррупции" (Собрание законодательства Российской Федерации, 29.12.2008, N 52 (ч. I), ст. 6228; 03.01.2022, N 1 (Часть I), ст. 40), </w:t>
      </w:r>
      <w:hyperlink w:history="0" r:id="rId8" w:tooltip="Закон Республики Дагестан от 12.10.2005 N 32 (ред. от 29.05.2021) &quot;О государственной гражданской службе Республики Дагестан&quot; (принят Народным Собранием РД 29.09.2005) ------------ Недействующая редакция {КонсультантПлюс}">
        <w:r>
          <w:rPr>
            <w:sz w:val="20"/>
            <w:color w:val="0000ff"/>
          </w:rPr>
          <w:t xml:space="preserve">статьями 18</w:t>
        </w:r>
      </w:hyperlink>
      <w:r>
        <w:rPr>
          <w:sz w:val="20"/>
        </w:rPr>
        <w:t xml:space="preserve"> и </w:t>
      </w:r>
      <w:hyperlink w:history="0" r:id="rId9" w:tooltip="Закон Республики Дагестан от 12.10.2005 N 32 (ред. от 29.05.2021) &quot;О государственной гражданской службе Республики Дагестан&quot; (принят Народным Собранием РД 29.09.2005) ------------ Недействующая редакция {КонсультантПлюс}">
        <w:r>
          <w:rPr>
            <w:sz w:val="20"/>
            <w:color w:val="0000ff"/>
          </w:rPr>
          <w:t xml:space="preserve">18.1</w:t>
        </w:r>
      </w:hyperlink>
      <w:r>
        <w:rPr>
          <w:sz w:val="20"/>
        </w:rPr>
        <w:t xml:space="preserve"> Закона Республики Дагестан от 12.10.2005 N 32 "О государственной гражданской службе Республики Дагестан" (Собрание законодательства Республики Дагестан, 2005, N 10, ст. 656; официальный интернет-портал правовой информации Республики Дагестан </w:t>
      </w:r>
      <w:r>
        <w:rPr>
          <w:sz w:val="20"/>
        </w:rPr>
        <w:t xml:space="preserve">www.pravo.e-dag.ru</w:t>
      </w:r>
      <w:r>
        <w:rPr>
          <w:sz w:val="20"/>
        </w:rPr>
        <w:t xml:space="preserve">, 29.05.2021, N 05004007208), </w:t>
      </w:r>
      <w:hyperlink w:history="0" r:id="rId10" w:tooltip="Указ Президента РД от 23.07.2009 N 163 (ред. от 14.10.2015) &quot;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Республики Дагестан от 23.07.2009 N 163 "Об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Республики Дагестан, 2009, N 14, ст. 677; официальный интернет-портал правовой информации Республики Дагестан </w:t>
      </w:r>
      <w:r>
        <w:rPr>
          <w:sz w:val="20"/>
        </w:rPr>
        <w:t xml:space="preserve">www.pravo.e-dag.ru</w:t>
      </w:r>
      <w:r>
        <w:rPr>
          <w:sz w:val="20"/>
        </w:rPr>
        <w:t xml:space="preserve">, 16.05.2016, N 05004000777) и в связи с внесением изменений в </w:t>
      </w:r>
      <w:hyperlink w:history="0" r:id="rId11" w:tooltip="Постановление Правительства РД от 23.11.2021 N 316 &quot;О внесении изменений в постановление Правительства Республики Дагестан от 2 марта 2016 г. N 46&quot; {КонсультантПлюс}">
        <w:r>
          <w:rPr>
            <w:sz w:val="20"/>
            <w:color w:val="0000ff"/>
          </w:rPr>
          <w:t xml:space="preserve">структуру</w:t>
        </w:r>
      </w:hyperlink>
      <w:r>
        <w:rPr>
          <w:sz w:val="20"/>
        </w:rPr>
        <w:t xml:space="preserve"> Министерства по туризму и народным художественным промыслам Республики Дагестан (далее - Министерство), утвержденную постановлением Правительства Республики Дагестан от 23.11.2021 N 316 "О внесении изменений в постановление Правительства Республики Дагестан от 2 марта 2016 г. N 46 "(официальный интернет-портал правовой информации Республики Дагестан </w:t>
      </w:r>
      <w:r>
        <w:rPr>
          <w:sz w:val="20"/>
        </w:rPr>
        <w:t xml:space="preserve">www.pravo.e-dag.ru</w:t>
      </w:r>
      <w:r>
        <w:rPr>
          <w:sz w:val="20"/>
        </w:rPr>
        <w:t xml:space="preserve">, 30.11.2021, N 05002007984), приказываю:</w:t>
      </w:r>
    </w:p>
    <w:bookmarkStart w:id="24" w:name="P24"/>
    <w:bookmarkEnd w:id="2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изменения в </w:t>
      </w:r>
      <w:hyperlink w:history="0" r:id="rId12" w:tooltip="Приказ Минтуризма РД от 06.08.2020 N 60/ОД &quot;Об утверждении перечня должностей государственной гражданской службы Республики Дагестан Министерства по туризму и народным художественным промыслам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, супруги (супруга) и несове ------------ Недействующая редакция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государственной гражданской службы Республики Дагестан, при замещении которых государственные гражданские служащие Министерства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от 06.08.2020 N 60/ОД "Об утверждении перечня должностей государственной гражданской службы Республики Дагестан Министерства по туризму и народным художественным промыслам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(официальный интернет-портал правовой информации Республики Дагестан </w:t>
      </w:r>
      <w:r>
        <w:rPr>
          <w:sz w:val="20"/>
        </w:rPr>
        <w:t xml:space="preserve">www.pravo.e-dag.ru</w:t>
      </w:r>
      <w:r>
        <w:rPr>
          <w:sz w:val="20"/>
        </w:rPr>
        <w:t xml:space="preserve">, 13.08.2020, N 05027005842), изложив его согласно </w:t>
      </w:r>
      <w:hyperlink w:history="0" w:anchor="P47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Управлению правового, кадрового и информационного обеспечения: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разместить настоящий приказ на официальном сайте Министерства (</w:t>
      </w:r>
      <w:r>
        <w:rPr>
          <w:sz w:val="20"/>
        </w:rPr>
        <w:t xml:space="preserve">www.dagtourism.com</w:t>
      </w:r>
      <w:r>
        <w:rPr>
          <w:sz w:val="20"/>
        </w:rPr>
        <w:t xml:space="preserve">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ознакомить государственных гражданских служащих Министерства с перечнем, предусмотренным </w:t>
      </w:r>
      <w:hyperlink w:history="0" w:anchor="P24" w:tooltip="1. Внести изменения в перечень должностей государственной гражданской службы Республики Дагестан, при замещении которых государственные гражданские служащие Министерств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от 06.08.2020 N 60/ОД &quot;Об утверждении перечня должностей государст...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приказа, под роспись.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Э.МЕРДАНОВ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11 апреля 2022 г. N 45/ОД</w:t>
      </w:r>
    </w:p>
    <w:p>
      <w:pPr>
        <w:pStyle w:val="0"/>
        <w:jc w:val="both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ГОСУДАРСТВЕННОЙ ГРАЖДАНСКОЙ СЛУЖБЫ</w:t>
      </w:r>
    </w:p>
    <w:p>
      <w:pPr>
        <w:pStyle w:val="2"/>
        <w:jc w:val="center"/>
      </w:pPr>
      <w:r>
        <w:rPr>
          <w:sz w:val="20"/>
        </w:rPr>
        <w:t xml:space="preserve">РЕСПУБЛИКИ ДАГЕСТАН МИНИСТЕРСТВА ПО ТУРИЗМУ И НАРОДНЫМ</w:t>
      </w:r>
    </w:p>
    <w:p>
      <w:pPr>
        <w:pStyle w:val="2"/>
        <w:jc w:val="center"/>
      </w:pPr>
      <w:r>
        <w:rPr>
          <w:sz w:val="20"/>
        </w:rPr>
        <w:t xml:space="preserve">ХУДОЖЕСТВЕННЫМ ПРОМЫСЛАМ РЕСПУБЛИКИ ДАГЕСТАН, ПРИ ЗАМЕЩЕНИИ</w:t>
      </w:r>
    </w:p>
    <w:p>
      <w:pPr>
        <w:pStyle w:val="2"/>
        <w:jc w:val="center"/>
      </w:pPr>
      <w:r>
        <w:rPr>
          <w:sz w:val="20"/>
        </w:rPr>
        <w:t xml:space="preserve">КОТОРЫХ ГОСУДАРСТВЕННЫЕ ГРАЖДАНСКИЕ СЛУЖАЩИЕ</w:t>
      </w:r>
    </w:p>
    <w:p>
      <w:pPr>
        <w:pStyle w:val="2"/>
        <w:jc w:val="center"/>
      </w:pPr>
      <w:r>
        <w:rPr>
          <w:sz w:val="20"/>
        </w:rPr>
        <w:t xml:space="preserve">РЕСПУБЛИКИ ДАГЕСТАН ОБЯЗАНЫ ПРЕДСТАВЛЯТЬ СВЕДЕНИЯ О СВОИХ</w:t>
      </w:r>
    </w:p>
    <w:p>
      <w:pPr>
        <w:pStyle w:val="2"/>
        <w:jc w:val="center"/>
      </w:pPr>
      <w:r>
        <w:rPr>
          <w:sz w:val="20"/>
        </w:rPr>
        <w:t xml:space="preserve">ДОХОДАХ, ОБ ИМУЩЕСТВЕ И ОБЯЗАТЕЛЬСТВАХ ИМУЩЕСТВЕННОГО</w:t>
      </w:r>
    </w:p>
    <w:p>
      <w:pPr>
        <w:pStyle w:val="2"/>
        <w:jc w:val="center"/>
      </w:pPr>
      <w:r>
        <w:rPr>
          <w:sz w:val="20"/>
        </w:rPr>
        <w:t xml:space="preserve">ХАРАКТЕРА, А ТАКЖЕ СВЕДЕНИЯ О ДОХОДАХ, ОБ ИМУЩЕСТВЕ</w:t>
      </w:r>
    </w:p>
    <w:p>
      <w:pPr>
        <w:pStyle w:val="2"/>
        <w:jc w:val="center"/>
      </w:pPr>
      <w:r>
        <w:rPr>
          <w:sz w:val="20"/>
        </w:rPr>
        <w:t xml:space="preserve">И ОБЯЗАТЕЛЬСТВАХ ИМУЩЕСТВЕННОГО ХАРАКТЕРА СВОИХ СУПРУГИ</w:t>
      </w:r>
    </w:p>
    <w:p>
      <w:pPr>
        <w:pStyle w:val="2"/>
        <w:jc w:val="center"/>
      </w:pPr>
      <w:r>
        <w:rPr>
          <w:sz w:val="20"/>
        </w:rPr>
        <w:t xml:space="preserve">(СУПРУГА) И НЕСОВЕРШЕННОЛЕТНИХ ДЕТЕЙ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669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министра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статс-секретарь - заместитель министра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министра</w:t>
            </w:r>
          </w:p>
        </w:tc>
      </w:tr>
      <w:tr>
        <w:tc>
          <w:tcPr>
            <w:gridSpan w:val="2"/>
            <w:tcW w:w="6179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Управление реализации государственных программ и инвестиционной деятельности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управления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 - эксперт </w:t>
            </w:r>
            <w:hyperlink w:history="0" w:anchor="P102" w:tooltip="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 </w:t>
            </w:r>
            <w:hyperlink w:history="0" w:anchor="P102" w:tooltip="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2"/>
            <w:tcW w:w="6179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Управление туристской деятельности и развития народных художественных промыслов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управления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 </w:t>
            </w:r>
            <w:hyperlink w:history="0" w:anchor="P102" w:tooltip="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 - эксперт </w:t>
            </w:r>
            <w:hyperlink w:history="0" w:anchor="P102" w:tooltip="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2"/>
            <w:tcW w:w="6179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Управление правового, кадрового и информационного обеспечения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управления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 - эксперт </w:t>
            </w:r>
            <w:hyperlink w:history="0" w:anchor="P102" w:tooltip="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 </w:t>
            </w:r>
            <w:hyperlink w:history="0" w:anchor="P102" w:tooltip="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2"/>
            <w:tcW w:w="6179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Отдел бухгалтерского учета и финансов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 - эксперт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02" w:name="P102"/>
    <w:bookmarkEnd w:id="1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государственных услуг гражданам и организациям;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контрольных и надзорных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государственным имуществом;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государственных закупок либо выдачу лицензий и разрешений;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хранение и распределение материально-технических ресурсов.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11.04.2022 N 45/ОД</w:t>
            <w:br/>
            <w:t>"О внесении изменений в приказ Министерства по туризму и народным художествен...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94D2CFDF07543432D56633F23C63026D729F003C7A45BDC7D881F4BF319062F7E928EBFB227B407112B11FB507EACF24C928B896z254L" TargetMode = "External"/>
	<Relationship Id="rId8" Type="http://schemas.openxmlformats.org/officeDocument/2006/relationships/hyperlink" Target="consultantplus://offline/ref=94D2CFDF07543432D56633E42F0F5F6470955D347A41B59682DEAFE2669968A0AE67B2BE6F7D10205DB043F357F9CD24C92ABD8A25587Ez45DL" TargetMode = "External"/>
	<Relationship Id="rId9" Type="http://schemas.openxmlformats.org/officeDocument/2006/relationships/hyperlink" Target="consultantplus://offline/ref=94D2CFDF07543432D56633E42F0F5F6470955D347A41B59682DEAFE2669968A0AE67B2BE6F7D152056ED12BE09A09E658227BA9139587950F17957z15AL" TargetMode = "External"/>
	<Relationship Id="rId10" Type="http://schemas.openxmlformats.org/officeDocument/2006/relationships/hyperlink" Target="consultantplus://offline/ref=94D2CFDF07543432D56633E42F0F5F6470955D347C47B29087DEAFE2669968A0AE67B2AC6F25192253FA12B21CF6CF23zD54L" TargetMode = "External"/>
	<Relationship Id="rId11" Type="http://schemas.openxmlformats.org/officeDocument/2006/relationships/hyperlink" Target="consultantplus://offline/ref=94D2CFDF07543432D56633E42F0F5F6470955D347A40B29582DEAFE2669968A0AE67B2BE6F7D152056E413B409A09E658227BA9139587950F17957z15AL" TargetMode = "External"/>
	<Relationship Id="rId12" Type="http://schemas.openxmlformats.org/officeDocument/2006/relationships/hyperlink" Target="consultantplus://offline/ref=94D2CFDF07543432D56633E42F0F5F6470955D347D49B19680DEAFE2669968A0AE67B2BE6F7D152056E413B109A09E658227BA9139587950F17957z15A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11.04.2022 N 45/ОД
"О внесении изменений в приказ Министерства по туризму и народным художественным промыслам Республики Дагестан от 06.08.2020 N 60/ОД "Об утверждении перечня должностей государственной гражданской службы Республики Дагестан Министерства по туризму и народным художественным промыслам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</dc:title>
  <dcterms:created xsi:type="dcterms:W3CDTF">2023-05-25T11:57:51Z</dcterms:created>
</cp:coreProperties>
</file>